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rPr>
          <w:sz w:val="28"/>
          <w:szCs w:val="28"/>
        </w:rPr>
      </w:pPr>
    </w:p>
    <w:p>
      <w:pPr>
        <w:widowControl w:val="0"/>
        <w:spacing w:before="0" w:after="0"/>
        <w:ind w:firstLine="567"/>
        <w:jc w:val="center"/>
        <w:rPr>
          <w:sz w:val="28"/>
          <w:szCs w:val="28"/>
        </w:rPr>
      </w:pPr>
      <w:r>
        <w:rPr>
          <w:rFonts w:ascii="Times New Roman" w:eastAsia="Times New Roman" w:hAnsi="Times New Roman" w:cs="Times New Roman"/>
          <w:sz w:val="28"/>
          <w:szCs w:val="28"/>
        </w:rPr>
        <w:t>РЕШЕНИЯ</w:t>
      </w:r>
    </w:p>
    <w:p>
      <w:pPr>
        <w:widowControl w:val="0"/>
        <w:spacing w:before="0" w:after="0"/>
        <w:ind w:firstLine="567"/>
        <w:jc w:val="center"/>
        <w:rPr>
          <w:sz w:val="28"/>
          <w:szCs w:val="28"/>
        </w:rPr>
      </w:pPr>
      <w:r>
        <w:rPr>
          <w:rFonts w:ascii="Times New Roman" w:eastAsia="Times New Roman" w:hAnsi="Times New Roman" w:cs="Times New Roman"/>
          <w:sz w:val="28"/>
          <w:szCs w:val="28"/>
        </w:rPr>
        <w:t>ИМЕНЕМ РОССИЙСКОЙ ФЕДЕРАЦИИ</w:t>
      </w:r>
    </w:p>
    <w:p>
      <w:pPr>
        <w:spacing w:before="0" w:after="0"/>
        <w:jc w:val="both"/>
        <w:rPr>
          <w:sz w:val="28"/>
          <w:szCs w:val="28"/>
        </w:rPr>
      </w:pPr>
    </w:p>
    <w:p>
      <w:pPr>
        <w:widowControl w:val="0"/>
        <w:tabs>
          <w:tab w:val="left" w:pos="6953"/>
        </w:tabs>
        <w:spacing w:before="0" w:after="0"/>
        <w:jc w:val="both"/>
        <w:rPr>
          <w:rStyle w:val="DefaultParagraphFont"/>
          <w:sz w:val="28"/>
          <w:szCs w:val="28"/>
        </w:rPr>
      </w:pPr>
      <w:r>
        <w:rPr>
          <w:rStyle w:val="cat-Dategrp-4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p>
    <w:p>
      <w:pPr>
        <w:widowControl w:val="0"/>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Мировой судья судебного участка № 6 Ханты-Мансийского судебного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 </w:t>
      </w:r>
      <w:r>
        <w:rPr>
          <w:rStyle w:val="cat-FIOgrp-9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 секретаре судебных заседаний </w:t>
      </w:r>
      <w:r>
        <w:rPr>
          <w:rStyle w:val="cat-FIOgrp-10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рассмотрев в открытом судебном заседании гражданское дело </w:t>
      </w:r>
      <w:r>
        <w:rPr>
          <w:rFonts w:ascii="Times New Roman" w:eastAsia="Times New Roman" w:hAnsi="Times New Roman" w:cs="Times New Roman"/>
          <w:sz w:val="28"/>
          <w:szCs w:val="28"/>
        </w:rPr>
        <w:t xml:space="preserve">по исковому заявлению Левченко </w:t>
      </w:r>
      <w:r>
        <w:rPr>
          <w:rStyle w:val="cat-UserDefinedgrp-29rplc-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 </w:t>
      </w:r>
      <w:r>
        <w:rPr>
          <w:rStyle w:val="cat-UserDefinedgrp-28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13rplc-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взыскании неосновательного обогащения, третье лицо, не заявляющее самостоятельных требований относительно предмета спора, </w:t>
      </w:r>
      <w:r>
        <w:rPr>
          <w:rStyle w:val="cat-FIOgrp-12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720"/>
        <w:jc w:val="both"/>
        <w:rPr>
          <w:sz w:val="28"/>
          <w:szCs w:val="28"/>
        </w:rPr>
      </w:pPr>
      <w:r>
        <w:rPr>
          <w:rStyle w:val="cat-FIOgrp-14rplc-1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обратилась в суд с ис</w:t>
      </w:r>
      <w:r>
        <w:rPr>
          <w:rFonts w:ascii="Times New Roman" w:eastAsia="Times New Roman" w:hAnsi="Times New Roman" w:cs="Times New Roman"/>
          <w:sz w:val="28"/>
          <w:szCs w:val="28"/>
        </w:rPr>
        <w:t xml:space="preserve">ковым заявлением к </w:t>
      </w:r>
      <w:r>
        <w:rPr>
          <w:rStyle w:val="cat-FIOgrp-15rplc-1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взыскан</w:t>
      </w:r>
      <w:r>
        <w:rPr>
          <w:rFonts w:ascii="Times New Roman" w:eastAsia="Times New Roman" w:hAnsi="Times New Roman" w:cs="Times New Roman"/>
          <w:sz w:val="28"/>
          <w:szCs w:val="28"/>
        </w:rPr>
        <w:t xml:space="preserve">ии неосновательного обогащения в размере </w:t>
      </w:r>
      <w:r>
        <w:rPr>
          <w:rStyle w:val="cat-Sumgrp-18rplc-1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расходов по оплате государственной пошлины в размере </w:t>
      </w:r>
      <w:r>
        <w:rPr>
          <w:rStyle w:val="cat-Sumgrp-19rplc-14"/>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третье лицо, не заявляющее самостоятельных требований относительно</w:t>
      </w:r>
      <w:r>
        <w:rPr>
          <w:rFonts w:ascii="Times New Roman" w:eastAsia="Times New Roman" w:hAnsi="Times New Roman" w:cs="Times New Roman"/>
          <w:sz w:val="28"/>
          <w:szCs w:val="28"/>
        </w:rPr>
        <w:t xml:space="preserve"> предмета спора, </w:t>
      </w:r>
      <w:r>
        <w:rPr>
          <w:rStyle w:val="cat-FIOgrp-16rplc-15"/>
          <w:rFonts w:ascii="Times New Roman" w:eastAsia="Times New Roman" w:hAnsi="Times New Roman" w:cs="Times New Roman"/>
          <w:sz w:val="28"/>
          <w:szCs w:val="28"/>
        </w:rPr>
        <w:t>фио</w:t>
      </w:r>
    </w:p>
    <w:p>
      <w:pPr>
        <w:spacing w:before="0" w:after="0"/>
        <w:ind w:firstLine="720"/>
        <w:jc w:val="both"/>
        <w:rPr>
          <w:sz w:val="28"/>
          <w:szCs w:val="28"/>
        </w:rPr>
      </w:pPr>
      <w:r>
        <w:rPr>
          <w:rFonts w:ascii="Times New Roman" w:eastAsia="Times New Roman" w:hAnsi="Times New Roman" w:cs="Times New Roman"/>
          <w:sz w:val="28"/>
          <w:szCs w:val="28"/>
        </w:rPr>
        <w:t>Тре</w:t>
      </w:r>
      <w:r>
        <w:rPr>
          <w:rFonts w:ascii="Times New Roman" w:eastAsia="Times New Roman" w:hAnsi="Times New Roman" w:cs="Times New Roman"/>
          <w:sz w:val="28"/>
          <w:szCs w:val="28"/>
        </w:rPr>
        <w:t xml:space="preserve">бования мотивированы тем, что </w:t>
      </w:r>
      <w:r>
        <w:rPr>
          <w:rStyle w:val="cat-Dategrp-5rplc-1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истец </w:t>
      </w:r>
      <w:r>
        <w:rPr>
          <w:rFonts w:ascii="Times New Roman" w:eastAsia="Times New Roman" w:hAnsi="Times New Roman" w:cs="Times New Roman"/>
          <w:sz w:val="28"/>
          <w:szCs w:val="28"/>
        </w:rPr>
        <w:t xml:space="preserve">ошибочно </w:t>
      </w:r>
      <w:r>
        <w:rPr>
          <w:rFonts w:ascii="Times New Roman" w:eastAsia="Times New Roman" w:hAnsi="Times New Roman" w:cs="Times New Roman"/>
          <w:sz w:val="28"/>
          <w:szCs w:val="28"/>
        </w:rPr>
        <w:t>перевел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от</w:t>
      </w:r>
      <w:r>
        <w:rPr>
          <w:rFonts w:ascii="Times New Roman" w:eastAsia="Times New Roman" w:hAnsi="Times New Roman" w:cs="Times New Roman"/>
          <w:sz w:val="28"/>
          <w:szCs w:val="28"/>
        </w:rPr>
        <w:t xml:space="preserve">ветчику без правовых </w:t>
      </w:r>
      <w:r>
        <w:rPr>
          <w:rFonts w:ascii="Times New Roman" w:eastAsia="Times New Roman" w:hAnsi="Times New Roman" w:cs="Times New Roman"/>
          <w:sz w:val="28"/>
          <w:szCs w:val="28"/>
        </w:rPr>
        <w:t xml:space="preserve">оснований </w:t>
      </w:r>
      <w:r>
        <w:rPr>
          <w:rStyle w:val="cat-Sumgrp-18rplc-1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До настоящего времени денежные средства ответчиком не возвращены. Истец </w:t>
      </w:r>
      <w:r>
        <w:rPr>
          <w:rFonts w:ascii="Times New Roman" w:eastAsia="Times New Roman" w:hAnsi="Times New Roman" w:cs="Times New Roman"/>
          <w:sz w:val="28"/>
          <w:szCs w:val="28"/>
        </w:rPr>
        <w:t xml:space="preserve">на основании статей </w:t>
      </w:r>
      <w:r>
        <w:rPr>
          <w:rFonts w:ascii="Times New Roman" w:eastAsia="Times New Roman" w:hAnsi="Times New Roman" w:cs="Times New Roman"/>
          <w:sz w:val="28"/>
          <w:szCs w:val="28"/>
        </w:rPr>
        <w:t>1102, 1107 Гражданского кодекса Р</w:t>
      </w:r>
      <w:r>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просит взыскать с ответчика неосновател</w:t>
      </w:r>
      <w:r>
        <w:rPr>
          <w:rFonts w:ascii="Times New Roman" w:eastAsia="Times New Roman" w:hAnsi="Times New Roman" w:cs="Times New Roman"/>
          <w:sz w:val="28"/>
          <w:szCs w:val="28"/>
        </w:rPr>
        <w:t xml:space="preserve">ьное обогащение в размере </w:t>
      </w:r>
      <w:r>
        <w:rPr>
          <w:rStyle w:val="cat-Sumgrp-18rplc-1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расходы по оплате государс</w:t>
      </w:r>
      <w:r>
        <w:rPr>
          <w:rFonts w:ascii="Times New Roman" w:eastAsia="Times New Roman" w:hAnsi="Times New Roman" w:cs="Times New Roman"/>
          <w:sz w:val="28"/>
          <w:szCs w:val="28"/>
        </w:rPr>
        <w:t xml:space="preserve">твенной пошлины в размере </w:t>
      </w:r>
      <w:r>
        <w:rPr>
          <w:rStyle w:val="cat-Sumgrp-19rplc-1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пределением </w:t>
      </w:r>
      <w:r>
        <w:rPr>
          <w:rFonts w:ascii="Times New Roman" w:eastAsia="Times New Roman" w:hAnsi="Times New Roman" w:cs="Times New Roman"/>
          <w:sz w:val="28"/>
          <w:szCs w:val="28"/>
        </w:rPr>
        <w:t xml:space="preserve">мирового судьи </w:t>
      </w:r>
      <w:r>
        <w:rPr>
          <w:rFonts w:ascii="Times New Roman" w:eastAsia="Times New Roman" w:hAnsi="Times New Roman" w:cs="Times New Roman"/>
          <w:sz w:val="28"/>
          <w:szCs w:val="28"/>
        </w:rPr>
        <w:t xml:space="preserve">от </w:t>
      </w:r>
      <w:r>
        <w:rPr>
          <w:rStyle w:val="cat-Dategrp-6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 участию в деле в качестве третьего лица, не заявляющего самостоятельных требований относительно предмета спора, привлечена </w:t>
      </w:r>
      <w:r>
        <w:rPr>
          <w:rStyle w:val="cat-FIOgrp-16rplc-21"/>
          <w:rFonts w:ascii="Times New Roman" w:eastAsia="Times New Roman" w:hAnsi="Times New Roman" w:cs="Times New Roman"/>
          <w:sz w:val="28"/>
          <w:szCs w:val="28"/>
        </w:rPr>
        <w:t>фио</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Истец </w:t>
      </w:r>
      <w:r>
        <w:rPr>
          <w:rStyle w:val="cat-FIOgrp-14rplc-2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ответчик </w:t>
      </w:r>
      <w:r>
        <w:rPr>
          <w:rStyle w:val="cat-FIOgrp-15rplc-23"/>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третье лицо </w:t>
      </w:r>
      <w:r>
        <w:rPr>
          <w:rStyle w:val="cat-FIOgrp-16rplc-2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извещенные надлежащим образом о времени и месте судебного заседания, в суд не явились. Дело рассмотрено в отсутствие истца, ответчика</w:t>
      </w:r>
      <w:r>
        <w:rPr>
          <w:rFonts w:ascii="Times New Roman" w:eastAsia="Times New Roman" w:hAnsi="Times New Roman" w:cs="Times New Roman"/>
          <w:sz w:val="28"/>
          <w:szCs w:val="28"/>
        </w:rPr>
        <w:t>, третьего лица по правилам статей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165.1 Гражданского кодекса Российской Федерации и </w:t>
      </w:r>
      <w:r>
        <w:rPr>
          <w:rFonts w:ascii="Times New Roman" w:eastAsia="Times New Roman" w:hAnsi="Times New Roman" w:cs="Times New Roman"/>
          <w:sz w:val="28"/>
          <w:szCs w:val="28"/>
        </w:rPr>
        <w:t>167 Гражданского процессуально</w:t>
      </w:r>
      <w:r>
        <w:rPr>
          <w:rFonts w:ascii="Times New Roman" w:eastAsia="Times New Roman" w:hAnsi="Times New Roman" w:cs="Times New Roman"/>
          <w:sz w:val="28"/>
          <w:szCs w:val="28"/>
        </w:rPr>
        <w:t>го кодекса Р</w:t>
      </w:r>
      <w:r>
        <w:rPr>
          <w:rFonts w:ascii="Times New Roman" w:eastAsia="Times New Roman" w:hAnsi="Times New Roman" w:cs="Times New Roman"/>
          <w:sz w:val="28"/>
          <w:szCs w:val="28"/>
        </w:rPr>
        <w:t>оссийской Федерации.</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возражениях на исковое заявление ответчик </w:t>
      </w:r>
      <w:r>
        <w:rPr>
          <w:rStyle w:val="cat-FIOgrp-15rplc-2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просит отказать в удовлетворении исковых требований </w:t>
      </w:r>
      <w:r>
        <w:rPr>
          <w:rStyle w:val="cat-FIOgrp-14rplc-2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Указывает, что истец заключила с ним сделку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6092774 </w:t>
      </w:r>
      <w:r>
        <w:rPr>
          <w:rFonts w:ascii="Times New Roman" w:eastAsia="Times New Roman" w:hAnsi="Times New Roman" w:cs="Times New Roman"/>
          <w:sz w:val="28"/>
          <w:szCs w:val="28"/>
        </w:rPr>
        <w:t>по покупке криптовалюты</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российской бирже </w:t>
      </w:r>
      <w:r>
        <w:rPr>
          <w:rFonts w:ascii="Times New Roman" w:eastAsia="Times New Roman" w:hAnsi="Times New Roman" w:cs="Times New Roman"/>
          <w:sz w:val="28"/>
          <w:szCs w:val="28"/>
        </w:rPr>
        <w:t>Garantex</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org</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имени участника </w:t>
      </w:r>
      <w:r>
        <w:rPr>
          <w:rFonts w:ascii="Times New Roman" w:eastAsia="Times New Roman" w:hAnsi="Times New Roman" w:cs="Times New Roman"/>
          <w:sz w:val="28"/>
          <w:szCs w:val="28"/>
        </w:rPr>
        <w:t xml:space="preserve">под ником </w:t>
      </w:r>
      <w:r>
        <w:rPr>
          <w:rFonts w:ascii="Times New Roman" w:eastAsia="Times New Roman" w:hAnsi="Times New Roman" w:cs="Times New Roman"/>
          <w:sz w:val="28"/>
          <w:szCs w:val="28"/>
        </w:rPr>
        <w:t>G</w:t>
      </w:r>
      <w:r>
        <w:rPr>
          <w:rStyle w:val="cat-UserDefinedgrp-39rplc-2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которое обладало доступом в личный кабинет </w:t>
      </w:r>
      <w:r>
        <w:rPr>
          <w:rStyle w:val="cat-UserDefinedgrp-38rplc-2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14rplc-29"/>
          <w:rFonts w:ascii="Times New Roman" w:eastAsia="Times New Roman" w:hAnsi="Times New Roman" w:cs="Times New Roman"/>
          <w:sz w:val="28"/>
          <w:szCs w:val="28"/>
        </w:rPr>
        <w:t>фио</w:t>
      </w:r>
      <w:r>
        <w:rPr>
          <w:rFonts w:ascii="Times New Roman" w:eastAsia="Times New Roman" w:hAnsi="Times New Roman" w:cs="Times New Roman"/>
          <w:sz w:val="28"/>
          <w:szCs w:val="28"/>
        </w:rPr>
        <w:t>, поскольку операц</w:t>
      </w:r>
      <w:r>
        <w:rPr>
          <w:rFonts w:ascii="Times New Roman" w:eastAsia="Times New Roman" w:hAnsi="Times New Roman" w:cs="Times New Roman"/>
          <w:sz w:val="28"/>
          <w:szCs w:val="28"/>
        </w:rPr>
        <w:t xml:space="preserve">ии расчетов по сделке </w:t>
      </w:r>
      <w:r>
        <w:rPr>
          <w:rFonts w:ascii="Times New Roman" w:eastAsia="Times New Roman" w:hAnsi="Times New Roman" w:cs="Times New Roman"/>
          <w:sz w:val="28"/>
          <w:szCs w:val="28"/>
        </w:rPr>
        <w:t>иначе совершить невозможно. При этом, расчет по сделке осуще</w:t>
      </w:r>
      <w:r>
        <w:rPr>
          <w:rFonts w:ascii="Times New Roman" w:eastAsia="Times New Roman" w:hAnsi="Times New Roman" w:cs="Times New Roman"/>
          <w:sz w:val="28"/>
          <w:szCs w:val="28"/>
        </w:rPr>
        <w:t>ствлялся путем перевода трех денежных сумм</w:t>
      </w:r>
      <w:r>
        <w:rPr>
          <w:rFonts w:ascii="Times New Roman" w:eastAsia="Times New Roman" w:hAnsi="Times New Roman" w:cs="Times New Roman"/>
          <w:sz w:val="28"/>
          <w:szCs w:val="28"/>
        </w:rPr>
        <w:t xml:space="preserve"> на его счет с личного кабинета второго участника по сделке. Полагает, что три суммы в размере </w:t>
      </w:r>
      <w:r>
        <w:rPr>
          <w:rStyle w:val="cat-Sumgrp-20rplc-3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21rplc-3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и </w:t>
      </w:r>
      <w:r>
        <w:rPr>
          <w:rStyle w:val="cat-Sumgrp-22rplc-32"/>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ошибочно невозможно перечислить. Кроме того, после получения им всей суммы денежных средств он завершил сделку на бирже и истцу перевелась сумма приобретенной криптовалюты</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подтверждение чего представлены скр</w:t>
      </w:r>
      <w:r>
        <w:rPr>
          <w:rFonts w:ascii="Times New Roman" w:eastAsia="Times New Roman" w:hAnsi="Times New Roman" w:cs="Times New Roman"/>
          <w:sz w:val="28"/>
          <w:szCs w:val="28"/>
        </w:rPr>
        <w:t xml:space="preserve">иншоты с сайта </w:t>
      </w:r>
      <w:r>
        <w:rPr>
          <w:rFonts w:ascii="Times New Roman" w:eastAsia="Times New Roman" w:hAnsi="Times New Roman" w:cs="Times New Roman"/>
          <w:sz w:val="28"/>
          <w:szCs w:val="28"/>
        </w:rPr>
        <w:t>garantex</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org</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chats</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сследовав письменные материалы гражданского дела, суд приходит к следующим выводам.</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4" w:history="1">
        <w:r>
          <w:rPr>
            <w:rFonts w:ascii="Times New Roman" w:eastAsia="Times New Roman" w:hAnsi="Times New Roman" w:cs="Times New Roman"/>
            <w:color w:val="0000EE"/>
            <w:sz w:val="28"/>
            <w:szCs w:val="28"/>
          </w:rPr>
          <w:t>статье 1102</w:t>
        </w:r>
      </w:hyperlink>
      <w:r>
        <w:rPr>
          <w:rFonts w:ascii="Times New Roman" w:eastAsia="Times New Roman" w:hAnsi="Times New Roman" w:cs="Times New Roman"/>
          <w:sz w:val="28"/>
          <w:szCs w:val="28"/>
        </w:rPr>
        <w:t xml:space="preserve">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5" w:history="1">
        <w:r>
          <w:rPr>
            <w:rFonts w:ascii="Times New Roman" w:eastAsia="Times New Roman" w:hAnsi="Times New Roman" w:cs="Times New Roman"/>
            <w:color w:val="0000EE"/>
            <w:sz w:val="28"/>
            <w:szCs w:val="28"/>
          </w:rPr>
          <w:t>статьей 1109</w:t>
        </w:r>
      </w:hyperlink>
      <w:r>
        <w:rPr>
          <w:rFonts w:ascii="Times New Roman" w:eastAsia="Times New Roman" w:hAnsi="Times New Roman" w:cs="Times New Roman"/>
          <w:sz w:val="28"/>
          <w:szCs w:val="28"/>
        </w:rPr>
        <w:t xml:space="preserve"> данного Кодекса </w:t>
      </w:r>
      <w:hyperlink r:id="rId6" w:history="1">
        <w:r>
          <w:rPr>
            <w:rFonts w:ascii="Times New Roman" w:eastAsia="Times New Roman" w:hAnsi="Times New Roman" w:cs="Times New Roman"/>
            <w:color w:val="0000EE"/>
            <w:sz w:val="28"/>
            <w:szCs w:val="28"/>
          </w:rPr>
          <w:t>(пункт 1)</w:t>
        </w:r>
      </w:hyperlink>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Правила, предусмотренные </w:t>
      </w:r>
      <w:hyperlink r:id="rId7" w:history="1">
        <w:r>
          <w:rPr>
            <w:rFonts w:ascii="Times New Roman" w:eastAsia="Times New Roman" w:hAnsi="Times New Roman" w:cs="Times New Roman"/>
            <w:color w:val="0000EE"/>
            <w:sz w:val="28"/>
            <w:szCs w:val="28"/>
          </w:rPr>
          <w:t>главой 60</w:t>
        </w:r>
      </w:hyperlink>
      <w:r>
        <w:rPr>
          <w:rFonts w:ascii="Times New Roman" w:eastAsia="Times New Roman" w:hAnsi="Times New Roman" w:cs="Times New Roman"/>
          <w:sz w:val="28"/>
          <w:szCs w:val="28"/>
        </w:rPr>
        <w:t xml:space="preserve"> Гражданского кодекса Российской Федерации,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w:t>
      </w:r>
      <w:hyperlink r:id="rId8" w:history="1">
        <w:r>
          <w:rPr>
            <w:rFonts w:ascii="Times New Roman" w:eastAsia="Times New Roman" w:hAnsi="Times New Roman" w:cs="Times New Roman"/>
            <w:color w:val="0000EE"/>
            <w:sz w:val="28"/>
            <w:szCs w:val="28"/>
          </w:rPr>
          <w:t>пункт 2 статьи 1102</w:t>
        </w:r>
      </w:hyperlink>
      <w:r>
        <w:rPr>
          <w:rFonts w:ascii="Times New Roman" w:eastAsia="Times New Roman" w:hAnsi="Times New Roman" w:cs="Times New Roman"/>
          <w:sz w:val="28"/>
          <w:szCs w:val="28"/>
        </w:rPr>
        <w:t xml:space="preserve"> Гражданского кодекса Российской Федерации).</w:t>
      </w:r>
    </w:p>
    <w:p>
      <w:pPr>
        <w:spacing w:before="0" w:after="0"/>
        <w:ind w:firstLine="540"/>
        <w:jc w:val="both"/>
        <w:rPr>
          <w:sz w:val="28"/>
          <w:szCs w:val="28"/>
        </w:rPr>
      </w:pPr>
      <w:r>
        <w:rPr>
          <w:rFonts w:ascii="Times New Roman" w:eastAsia="Times New Roman" w:hAnsi="Times New Roman" w:cs="Times New Roman"/>
          <w:sz w:val="28"/>
          <w:szCs w:val="28"/>
        </w:rPr>
        <w:t>Из изложенного следует, что неосновательное обогащение имеет место в случае приобретения или сбережения имущества в отсутствие на то правовых оснований, то есть неосновательным обогащением является чужое имущество, включая денежные средства, которые лицо приобрело (сберегло) за счет другого лица (потерпевшего) без оснований, предусмотренных законом, иным правовым актом или сделкой.</w:t>
      </w:r>
    </w:p>
    <w:p>
      <w:pPr>
        <w:spacing w:before="0" w:after="0"/>
        <w:ind w:firstLine="540"/>
        <w:jc w:val="both"/>
        <w:rPr>
          <w:sz w:val="28"/>
          <w:szCs w:val="28"/>
        </w:rPr>
      </w:pPr>
      <w:r>
        <w:rPr>
          <w:rFonts w:ascii="Times New Roman" w:eastAsia="Times New Roman" w:hAnsi="Times New Roman" w:cs="Times New Roman"/>
          <w:sz w:val="28"/>
          <w:szCs w:val="28"/>
        </w:rPr>
        <w:t>Неосновательное обогащение возникает при наличии одновременно следующих условий: имело место приобретение или сбережение имущества; приобретение или сбережение имущества одним лицом за счет другого лица произведено в отсутствие правовых оснований, то есть не основано ни на законе, ни на иных правовых актах, ни на сделке.</w:t>
      </w:r>
    </w:p>
    <w:p>
      <w:pPr>
        <w:spacing w:before="0" w:after="0"/>
        <w:ind w:firstLine="540"/>
        <w:jc w:val="both"/>
        <w:rPr>
          <w:sz w:val="28"/>
          <w:szCs w:val="28"/>
        </w:rPr>
      </w:pPr>
      <w:r>
        <w:rPr>
          <w:rFonts w:ascii="Times New Roman" w:eastAsia="Times New Roman" w:hAnsi="Times New Roman" w:cs="Times New Roman"/>
          <w:sz w:val="28"/>
          <w:szCs w:val="28"/>
        </w:rPr>
        <w:t>По делам о взыскании неосновательного обогащения на истца возлагается обязанность доказать факт приобретения или сбережения имущества ответчиком, а на ответчика - обязанность доказать наличие законных оснований для приобретения или сбережения такого имущества либо наличие обстоятельств, при которых неосновательное обогащение в силу закона не подлежит возврату.</w:t>
      </w:r>
    </w:p>
    <w:p>
      <w:pPr>
        <w:spacing w:before="0" w:after="0"/>
        <w:ind w:firstLine="540"/>
        <w:jc w:val="both"/>
        <w:rPr>
          <w:sz w:val="28"/>
          <w:szCs w:val="28"/>
        </w:rPr>
      </w:pPr>
      <w:r>
        <w:rPr>
          <w:rFonts w:ascii="Times New Roman" w:eastAsia="Times New Roman" w:hAnsi="Times New Roman" w:cs="Times New Roman"/>
          <w:sz w:val="28"/>
          <w:szCs w:val="28"/>
        </w:rPr>
        <w:t xml:space="preserve">В силу </w:t>
      </w:r>
      <w:hyperlink r:id="rId9" w:history="1">
        <w:r>
          <w:rPr>
            <w:rFonts w:ascii="Times New Roman" w:eastAsia="Times New Roman" w:hAnsi="Times New Roman" w:cs="Times New Roman"/>
            <w:color w:val="0000EE"/>
            <w:sz w:val="28"/>
            <w:szCs w:val="28"/>
          </w:rPr>
          <w:t>подпункта 4 статьи 1109</w:t>
        </w:r>
      </w:hyperlink>
      <w:r>
        <w:rPr>
          <w:rFonts w:ascii="Times New Roman" w:eastAsia="Times New Roman" w:hAnsi="Times New Roman" w:cs="Times New Roman"/>
          <w:sz w:val="28"/>
          <w:szCs w:val="28"/>
        </w:rPr>
        <w:t xml:space="preserve"> названного Кодекса не подлежат возврату в качестве неосновательного обогащения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10" w:history="1">
        <w:r>
          <w:rPr>
            <w:rFonts w:ascii="Times New Roman" w:eastAsia="Times New Roman" w:hAnsi="Times New Roman" w:cs="Times New Roman"/>
            <w:color w:val="0000EE"/>
            <w:sz w:val="28"/>
            <w:szCs w:val="28"/>
          </w:rPr>
          <w:t>частью 1 статьи 55</w:t>
        </w:r>
      </w:hyperlink>
      <w:r>
        <w:rPr>
          <w:rFonts w:ascii="Times New Roman" w:eastAsia="Times New Roman" w:hAnsi="Times New Roman" w:cs="Times New Roman"/>
          <w:sz w:val="28"/>
          <w:szCs w:val="28"/>
        </w:rPr>
        <w:t xml:space="preserve"> Гражданского процессуального кодекса Российской Федерации доказательствами по делу являются полученные в предусмотренном законом порядке сведения о фактах, на основе которых суд устанавливает наличие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 Эти сведения могут быть получены из объяснений сторон и третьих лиц, показаний свидетелей, письменных и вещественных доказательств, аудио- и видеозаписей, заключений экспертов.</w:t>
      </w:r>
    </w:p>
    <w:p>
      <w:pPr>
        <w:spacing w:before="0" w:after="0"/>
        <w:ind w:firstLine="540"/>
        <w:jc w:val="both"/>
        <w:rPr>
          <w:sz w:val="28"/>
          <w:szCs w:val="28"/>
        </w:rPr>
      </w:pPr>
      <w:r>
        <w:rPr>
          <w:rFonts w:ascii="Times New Roman" w:eastAsia="Times New Roman" w:hAnsi="Times New Roman" w:cs="Times New Roman"/>
          <w:sz w:val="28"/>
          <w:szCs w:val="28"/>
        </w:rPr>
        <w:t xml:space="preserve">В силу </w:t>
      </w:r>
      <w:hyperlink r:id="rId11" w:history="1">
        <w:r>
          <w:rPr>
            <w:rFonts w:ascii="Times New Roman" w:eastAsia="Times New Roman" w:hAnsi="Times New Roman" w:cs="Times New Roman"/>
            <w:color w:val="0000EE"/>
            <w:sz w:val="28"/>
            <w:szCs w:val="28"/>
          </w:rPr>
          <w:t>части 1 статьи 56</w:t>
        </w:r>
      </w:hyperlink>
      <w:r>
        <w:rPr>
          <w:rFonts w:ascii="Times New Roman" w:eastAsia="Times New Roman" w:hAnsi="Times New Roman" w:cs="Times New Roman"/>
          <w:sz w:val="28"/>
          <w:szCs w:val="28"/>
        </w:rPr>
        <w:t xml:space="preserve"> Гражданского процессуального кодекса Российской Федерации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 </w:t>
      </w:r>
      <w:hyperlink r:id="rId12" w:history="1">
        <w:r>
          <w:rPr>
            <w:rFonts w:ascii="Times New Roman" w:eastAsia="Times New Roman" w:hAnsi="Times New Roman" w:cs="Times New Roman"/>
            <w:color w:val="0000EE"/>
            <w:sz w:val="28"/>
            <w:szCs w:val="28"/>
          </w:rPr>
          <w:t>Частью 2 статьи 56</w:t>
        </w:r>
      </w:hyperlink>
      <w:r>
        <w:rPr>
          <w:rFonts w:ascii="Times New Roman" w:eastAsia="Times New Roman" w:hAnsi="Times New Roman" w:cs="Times New Roman"/>
          <w:sz w:val="28"/>
          <w:szCs w:val="28"/>
        </w:rPr>
        <w:t xml:space="preserve"> Гражданского процессуального кодекса Российской Федерации предусмотрено, что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pPr>
        <w:spacing w:before="0" w:after="0"/>
        <w:ind w:firstLine="540"/>
        <w:jc w:val="both"/>
        <w:rPr>
          <w:sz w:val="28"/>
          <w:szCs w:val="28"/>
        </w:rPr>
      </w:pPr>
      <w:r>
        <w:rPr>
          <w:rFonts w:ascii="Times New Roman" w:eastAsia="Times New Roman" w:hAnsi="Times New Roman" w:cs="Times New Roman"/>
          <w:sz w:val="28"/>
          <w:szCs w:val="28"/>
        </w:rPr>
        <w:t xml:space="preserve">Согласно </w:t>
      </w:r>
      <w:hyperlink r:id="rId13" w:history="1">
        <w:r>
          <w:rPr>
            <w:rFonts w:ascii="Times New Roman" w:eastAsia="Times New Roman" w:hAnsi="Times New Roman" w:cs="Times New Roman"/>
            <w:color w:val="0000EE"/>
            <w:sz w:val="28"/>
            <w:szCs w:val="28"/>
          </w:rPr>
          <w:t>части 1 статьи 67</w:t>
        </w:r>
      </w:hyperlink>
      <w:r>
        <w:rPr>
          <w:rFonts w:ascii="Times New Roman" w:eastAsia="Times New Roman" w:hAnsi="Times New Roman" w:cs="Times New Roman"/>
          <w:sz w:val="28"/>
          <w:szCs w:val="28"/>
        </w:rPr>
        <w:t xml:space="preserve"> Гражданского процессуального кодекса Российской Федерации суд оценивает доказательства по своему внутреннему убеждению, основанному на всестороннем, полном, объективном и непосредственном исследовании имеющихся в деле доказательств.</w:t>
      </w:r>
    </w:p>
    <w:p>
      <w:pPr>
        <w:spacing w:before="0" w:after="0"/>
        <w:ind w:firstLine="540"/>
        <w:jc w:val="both"/>
        <w:rPr>
          <w:sz w:val="28"/>
          <w:szCs w:val="28"/>
        </w:rPr>
      </w:pPr>
      <w:r>
        <w:rPr>
          <w:rFonts w:ascii="Times New Roman" w:eastAsia="Times New Roman" w:hAnsi="Times New Roman" w:cs="Times New Roman"/>
          <w:sz w:val="28"/>
          <w:szCs w:val="28"/>
        </w:rPr>
        <w:t xml:space="preserve">Судом установлено и следует из материалов дела, что </w:t>
      </w:r>
      <w:r>
        <w:rPr>
          <w:rStyle w:val="cat-Dategrp-5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истец </w:t>
      </w:r>
      <w:r>
        <w:rPr>
          <w:rStyle w:val="cat-FIOgrp-14rplc-3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перечислила </w:t>
      </w:r>
      <w:r>
        <w:rPr>
          <w:rFonts w:ascii="Times New Roman" w:eastAsia="Times New Roman" w:hAnsi="Times New Roman" w:cs="Times New Roman"/>
          <w:sz w:val="28"/>
          <w:szCs w:val="28"/>
        </w:rPr>
        <w:t xml:space="preserve">с </w:t>
      </w:r>
      <w:r>
        <w:rPr>
          <w:rFonts w:ascii="Times New Roman" w:eastAsia="Times New Roman" w:hAnsi="Times New Roman" w:cs="Times New Roman"/>
          <w:sz w:val="28"/>
          <w:szCs w:val="28"/>
        </w:rPr>
        <w:t xml:space="preserve">личного кабинета </w:t>
      </w:r>
      <w:r>
        <w:rPr>
          <w:rStyle w:val="cat-UserDefinedgrp-30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 xml:space="preserve">карты № 2202 20хх хххх5528, открытой </w:t>
      </w:r>
      <w:r>
        <w:rPr>
          <w:rFonts w:ascii="Times New Roman" w:eastAsia="Times New Roman" w:hAnsi="Times New Roman" w:cs="Times New Roman"/>
          <w:sz w:val="28"/>
          <w:szCs w:val="28"/>
        </w:rPr>
        <w:t xml:space="preserve">на ее имя </w:t>
      </w:r>
      <w:r>
        <w:rPr>
          <w:rFonts w:ascii="Times New Roman" w:eastAsia="Times New Roman" w:hAnsi="Times New Roman" w:cs="Times New Roman"/>
          <w:sz w:val="28"/>
          <w:szCs w:val="28"/>
        </w:rPr>
        <w:t xml:space="preserve">в ПАО Сбербанк России </w:t>
      </w:r>
      <w:r>
        <w:rPr>
          <w:rFonts w:ascii="Times New Roman" w:eastAsia="Times New Roman" w:hAnsi="Times New Roman" w:cs="Times New Roman"/>
          <w:sz w:val="28"/>
          <w:szCs w:val="28"/>
        </w:rPr>
        <w:t xml:space="preserve">тремя платежами </w:t>
      </w:r>
      <w:r>
        <w:rPr>
          <w:rFonts w:ascii="Times New Roman" w:eastAsia="Times New Roman" w:hAnsi="Times New Roman" w:cs="Times New Roman"/>
          <w:sz w:val="28"/>
          <w:szCs w:val="28"/>
        </w:rPr>
        <w:t xml:space="preserve">на счет № 2202 хххх 8583, открытый в </w:t>
      </w:r>
      <w:r>
        <w:rPr>
          <w:rStyle w:val="cat-UserDefinedgrp-30rplc-3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имя </w:t>
      </w:r>
      <w:r>
        <w:rPr>
          <w:rStyle w:val="cat-FIOgrp-15rplc-3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денежные средства в размере </w:t>
      </w:r>
      <w:r>
        <w:rPr>
          <w:rStyle w:val="cat-Sumgrp-20rplc-3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21rplc-3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и </w:t>
      </w:r>
      <w:r>
        <w:rPr>
          <w:rStyle w:val="cat-Sumgrp-22rplc-40"/>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общей сумме </w:t>
      </w:r>
      <w:r>
        <w:rPr>
          <w:rStyle w:val="cat-Sumgrp-18rplc-41"/>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что не оспаривалось сторонами по делу. </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Как следует из материалов дела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частности ответа на запрос </w:t>
      </w:r>
      <w:r>
        <w:rPr>
          <w:rStyle w:val="cat-UserDefinedgrp-31rplc-4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и чата биржи </w:t>
      </w:r>
      <w:r>
        <w:rPr>
          <w:rFonts w:ascii="Times New Roman" w:eastAsia="Times New Roman" w:hAnsi="Times New Roman" w:cs="Times New Roman"/>
          <w:sz w:val="28"/>
          <w:szCs w:val="28"/>
        </w:rPr>
        <w:t>Garantex</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org</w:t>
      </w:r>
      <w:r>
        <w:rPr>
          <w:rFonts w:ascii="Times New Roman" w:eastAsia="Times New Roman" w:hAnsi="Times New Roman" w:cs="Times New Roman"/>
          <w:sz w:val="28"/>
          <w:szCs w:val="28"/>
        </w:rPr>
        <w:t xml:space="preserve">, </w:t>
      </w:r>
      <w:r>
        <w:rPr>
          <w:rStyle w:val="cat-Dategrp-5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5rplc-4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открыта сделка </w:t>
      </w:r>
      <w:r>
        <w:rPr>
          <w:rFonts w:ascii="Times New Roman" w:eastAsia="Times New Roman" w:hAnsi="Times New Roman" w:cs="Times New Roman"/>
          <w:sz w:val="28"/>
          <w:szCs w:val="28"/>
        </w:rPr>
        <w:t>#</w:t>
      </w:r>
      <w:r>
        <w:rPr>
          <w:rStyle w:val="cat-UserDefinedgrp-32rplc-4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между пользователями </w:t>
      </w:r>
      <w:r>
        <w:rPr>
          <w:rStyle w:val="cat-UserDefinedgrp-34rplc-4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продавец) и </w:t>
      </w:r>
      <w:r>
        <w:rPr>
          <w:rStyle w:val="cat-UserDefinedgrp-33rplc-4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покупатель) на сумму </w:t>
      </w:r>
      <w:r>
        <w:rPr>
          <w:rStyle w:val="cat-Sumgrp-23rplc-4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Rub</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 оплате/получению </w:t>
      </w:r>
      <w:r>
        <w:rPr>
          <w:rStyle w:val="cat-UserDefinedgrp-35rplc-49"/>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Сделка завершена, то есть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родавец отдал свой электронный баланс биржи, а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окупатель взамен перевел ему деньги на указанные реквизиты. Пользователь с никнеймом </w:t>
      </w:r>
      <w:r>
        <w:rPr>
          <w:rStyle w:val="cat-UserDefinedgrp-33rplc-5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 на бирже </w:t>
      </w:r>
      <w:r>
        <w:rPr>
          <w:rStyle w:val="cat-Dategrp-7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w:t>
      </w:r>
      <w:r>
        <w:rPr>
          <w:rStyle w:val="cat-Timegrp-26rplc-5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с </w:t>
      </w:r>
      <w:r>
        <w:rPr>
          <w:rFonts w:ascii="Times New Roman" w:eastAsia="Times New Roman" w:hAnsi="Times New Roman" w:cs="Times New Roman"/>
          <w:sz w:val="28"/>
          <w:szCs w:val="28"/>
        </w:rPr>
        <w:t>IP</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адреса </w:t>
      </w:r>
      <w:r>
        <w:rPr>
          <w:rStyle w:val="cat-UserDefinedgrp-36rplc-5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Верификация пройдена на </w:t>
      </w:r>
      <w:r>
        <w:rPr>
          <w:rStyle w:val="cat-FIOgrp-16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4rplc-55"/>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FIOgrp-14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среди верифицированных пользователей биржи не найдена. </w:t>
      </w:r>
      <w:r>
        <w:rPr>
          <w:rFonts w:ascii="Times New Roman" w:eastAsia="Times New Roman" w:hAnsi="Times New Roman" w:cs="Times New Roman"/>
          <w:sz w:val="28"/>
          <w:szCs w:val="28"/>
        </w:rPr>
        <w:t xml:space="preserve">Денежные средства по вышеуказанной сделке перечислены тремя платежами в размере </w:t>
      </w:r>
      <w:r>
        <w:rPr>
          <w:rStyle w:val="cat-Sumgrp-20rplc-57"/>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w:t>
      </w:r>
      <w:r>
        <w:rPr>
          <w:rStyle w:val="cat-Sumgrp-21rplc-5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и </w:t>
      </w:r>
      <w:r>
        <w:rPr>
          <w:rStyle w:val="cat-Sumgrp-22rplc-59"/>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со счета </w:t>
      </w:r>
      <w:r>
        <w:rPr>
          <w:rStyle w:val="cat-FIOgrp-14rplc-60"/>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открытого</w:t>
      </w:r>
      <w:r>
        <w:rPr>
          <w:rFonts w:ascii="Times New Roman" w:eastAsia="Times New Roman" w:hAnsi="Times New Roman" w:cs="Times New Roman"/>
          <w:sz w:val="28"/>
          <w:szCs w:val="28"/>
        </w:rPr>
        <w:t xml:space="preserve"> в </w:t>
      </w:r>
      <w:r>
        <w:rPr>
          <w:rStyle w:val="cat-UserDefinedgrp-30rplc-6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счет ответчика </w:t>
      </w:r>
      <w:r>
        <w:rPr>
          <w:rStyle w:val="cat-FIOgrp-15rplc-62"/>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открытого также</w:t>
      </w:r>
      <w:r>
        <w:rPr>
          <w:rFonts w:ascii="Times New Roman" w:eastAsia="Times New Roman" w:hAnsi="Times New Roman" w:cs="Times New Roman"/>
          <w:sz w:val="28"/>
          <w:szCs w:val="28"/>
        </w:rPr>
        <w:t xml:space="preserve"> в </w:t>
      </w:r>
      <w:r>
        <w:rPr>
          <w:rStyle w:val="cat-UserDefinedgrp-30rplc-63"/>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суд приходит к выводу о том, что ответчиком </w:t>
      </w:r>
      <w:r>
        <w:rPr>
          <w:rStyle w:val="cat-FIOgrp-15rplc-6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представлены </w:t>
      </w:r>
      <w:r>
        <w:rPr>
          <w:rFonts w:ascii="Times New Roman" w:eastAsia="Times New Roman" w:hAnsi="Times New Roman" w:cs="Times New Roman"/>
          <w:sz w:val="28"/>
          <w:szCs w:val="28"/>
        </w:rPr>
        <w:t>доказательства обоснованности пер</w:t>
      </w:r>
      <w:r>
        <w:rPr>
          <w:rFonts w:ascii="Times New Roman" w:eastAsia="Times New Roman" w:hAnsi="Times New Roman" w:cs="Times New Roman"/>
          <w:sz w:val="28"/>
          <w:szCs w:val="28"/>
        </w:rPr>
        <w:t xml:space="preserve">ечисления ему </w:t>
      </w:r>
      <w:r>
        <w:rPr>
          <w:rFonts w:ascii="Times New Roman" w:eastAsia="Times New Roman" w:hAnsi="Times New Roman" w:cs="Times New Roman"/>
          <w:sz w:val="28"/>
          <w:szCs w:val="28"/>
        </w:rPr>
        <w:t>указанных денежных средств</w:t>
      </w:r>
      <w:r>
        <w:rPr>
          <w:rFonts w:ascii="Times New Roman" w:eastAsia="Times New Roman" w:hAnsi="Times New Roman" w:cs="Times New Roman"/>
          <w:sz w:val="28"/>
          <w:szCs w:val="28"/>
        </w:rPr>
        <w:t xml:space="preserve"> со счета истца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общей сумме </w:t>
      </w:r>
      <w:r>
        <w:rPr>
          <w:rStyle w:val="cat-Sumgrp-18rplc-65"/>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Так, п</w:t>
      </w:r>
      <w:r>
        <w:rPr>
          <w:rFonts w:ascii="Times New Roman" w:eastAsia="Times New Roman" w:hAnsi="Times New Roman" w:cs="Times New Roman"/>
          <w:sz w:val="28"/>
          <w:szCs w:val="28"/>
        </w:rPr>
        <w:t>редставленными в</w:t>
      </w:r>
      <w:r>
        <w:rPr>
          <w:rFonts w:ascii="Times New Roman" w:eastAsia="Times New Roman" w:hAnsi="Times New Roman" w:cs="Times New Roman"/>
          <w:sz w:val="28"/>
          <w:szCs w:val="28"/>
        </w:rPr>
        <w:t xml:space="preserve"> материалы дела доказательствами</w:t>
      </w:r>
      <w:r>
        <w:rPr>
          <w:rFonts w:ascii="Times New Roman" w:eastAsia="Times New Roman" w:hAnsi="Times New Roman" w:cs="Times New Roman"/>
          <w:sz w:val="28"/>
          <w:szCs w:val="28"/>
        </w:rPr>
        <w:t xml:space="preserve"> подтверждается факт перечисления </w:t>
      </w:r>
      <w:r>
        <w:rPr>
          <w:rFonts w:ascii="Times New Roman" w:eastAsia="Times New Roman" w:hAnsi="Times New Roman" w:cs="Times New Roman"/>
          <w:sz w:val="28"/>
          <w:szCs w:val="28"/>
        </w:rPr>
        <w:t xml:space="preserve">со счета истца </w:t>
      </w:r>
      <w:r>
        <w:rPr>
          <w:rFonts w:ascii="Times New Roman" w:eastAsia="Times New Roman" w:hAnsi="Times New Roman" w:cs="Times New Roman"/>
          <w:sz w:val="28"/>
          <w:szCs w:val="28"/>
        </w:rPr>
        <w:t xml:space="preserve">денежных средств ответчику в </w:t>
      </w:r>
      <w:r>
        <w:rPr>
          <w:rFonts w:ascii="Times New Roman" w:eastAsia="Times New Roman" w:hAnsi="Times New Roman" w:cs="Times New Roman"/>
          <w:sz w:val="28"/>
          <w:szCs w:val="28"/>
        </w:rPr>
        <w:t xml:space="preserve">счет приобретения криптовалюты на бирже </w:t>
      </w:r>
      <w:r>
        <w:rPr>
          <w:rStyle w:val="cat-UserDefinedgrp-37rplc-66"/>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OU</w:t>
      </w:r>
      <w:r>
        <w:rPr>
          <w:rFonts w:ascii="Times New Roman" w:eastAsia="Times New Roman" w:hAnsi="Times New Roman" w:cs="Times New Roman"/>
          <w:sz w:val="28"/>
          <w:szCs w:val="28"/>
        </w:rPr>
        <w:t>.</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Разрешая заявленные требования, суд, руководствуясь вышеуказанными нормами права, приходит к выводу о том, что </w:t>
      </w:r>
      <w:r>
        <w:rPr>
          <w:rFonts w:ascii="Times New Roman" w:eastAsia="Times New Roman" w:hAnsi="Times New Roman" w:cs="Times New Roman"/>
          <w:sz w:val="28"/>
          <w:szCs w:val="28"/>
        </w:rPr>
        <w:t>денежные средства переведены с</w:t>
      </w:r>
      <w:r>
        <w:rPr>
          <w:rFonts w:ascii="Times New Roman" w:eastAsia="Times New Roman" w:hAnsi="Times New Roman" w:cs="Times New Roman"/>
          <w:sz w:val="28"/>
          <w:szCs w:val="28"/>
        </w:rPr>
        <w:t>о счета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истца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ответчику на основании сделки купли-продажи криптовалюты, </w:t>
      </w:r>
      <w:r>
        <w:rPr>
          <w:rFonts w:ascii="Times New Roman" w:eastAsia="Times New Roman" w:hAnsi="Times New Roman" w:cs="Times New Roman"/>
          <w:sz w:val="28"/>
          <w:szCs w:val="28"/>
        </w:rPr>
        <w:t xml:space="preserve">то есть </w:t>
      </w:r>
      <w:r>
        <w:rPr>
          <w:rFonts w:ascii="Times New Roman" w:eastAsia="Times New Roman" w:hAnsi="Times New Roman" w:cs="Times New Roman"/>
          <w:sz w:val="28"/>
          <w:szCs w:val="28"/>
        </w:rPr>
        <w:t>истцом не представлены доказательства факта воз</w:t>
      </w:r>
      <w:r>
        <w:rPr>
          <w:rFonts w:ascii="Times New Roman" w:eastAsia="Times New Roman" w:hAnsi="Times New Roman" w:cs="Times New Roman"/>
          <w:sz w:val="28"/>
          <w:szCs w:val="28"/>
        </w:rPr>
        <w:t>никновения на стороне ответчика</w:t>
      </w:r>
      <w:r>
        <w:rPr>
          <w:rFonts w:ascii="Times New Roman" w:eastAsia="Times New Roman" w:hAnsi="Times New Roman" w:cs="Times New Roman"/>
          <w:sz w:val="28"/>
          <w:szCs w:val="28"/>
        </w:rPr>
        <w:t xml:space="preserve"> неосновательного обогащения за счет средств истца</w:t>
      </w:r>
      <w:r>
        <w:rPr>
          <w:rFonts w:ascii="Times New Roman" w:eastAsia="Times New Roman" w:hAnsi="Times New Roman" w:cs="Times New Roman"/>
          <w:sz w:val="28"/>
          <w:szCs w:val="28"/>
        </w:rPr>
        <w:t xml:space="preserve">, в связи с чем, </w:t>
      </w:r>
      <w:r>
        <w:rPr>
          <w:rFonts w:ascii="Times New Roman" w:eastAsia="Times New Roman" w:hAnsi="Times New Roman" w:cs="Times New Roman"/>
          <w:sz w:val="28"/>
          <w:szCs w:val="28"/>
        </w:rPr>
        <w:t xml:space="preserve">исковые требования </w:t>
      </w:r>
      <w:r>
        <w:rPr>
          <w:rStyle w:val="cat-FIOgrp-14rplc-6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 взыскании неосновательного обогащения в виде денеж</w:t>
      </w:r>
      <w:r>
        <w:rPr>
          <w:rFonts w:ascii="Times New Roman" w:eastAsia="Times New Roman" w:hAnsi="Times New Roman" w:cs="Times New Roman"/>
          <w:sz w:val="28"/>
          <w:szCs w:val="28"/>
        </w:rPr>
        <w:t xml:space="preserve">ных средств в общей сумме </w:t>
      </w:r>
      <w:r>
        <w:rPr>
          <w:rStyle w:val="cat-Sumgrp-18rplc-6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 xml:space="preserve"> с ответчика </w:t>
      </w:r>
      <w:r>
        <w:rPr>
          <w:rStyle w:val="cat-FIOgrp-15rplc-6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подлежа</w:t>
      </w:r>
      <w:r>
        <w:rPr>
          <w:rFonts w:ascii="Times New Roman" w:eastAsia="Times New Roman" w:hAnsi="Times New Roman" w:cs="Times New Roman"/>
          <w:sz w:val="28"/>
          <w:szCs w:val="28"/>
        </w:rPr>
        <w:t>т удовлетворению</w:t>
      </w:r>
      <w:r>
        <w:rPr>
          <w:rFonts w:ascii="Times New Roman" w:eastAsia="Times New Roman" w:hAnsi="Times New Roman" w:cs="Times New Roman"/>
          <w:sz w:val="28"/>
          <w:szCs w:val="28"/>
        </w:rPr>
        <w:t xml:space="preserve">. </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Кроме того, </w:t>
      </w:r>
      <w:r>
        <w:rPr>
          <w:rFonts w:ascii="Times New Roman" w:eastAsia="Times New Roman" w:hAnsi="Times New Roman" w:cs="Times New Roman"/>
          <w:sz w:val="28"/>
          <w:szCs w:val="28"/>
        </w:rPr>
        <w:t>истец не пояснил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в чем заклю</w:t>
      </w:r>
      <w:r>
        <w:rPr>
          <w:rFonts w:ascii="Times New Roman" w:eastAsia="Times New Roman" w:hAnsi="Times New Roman" w:cs="Times New Roman"/>
          <w:sz w:val="28"/>
          <w:szCs w:val="28"/>
        </w:rPr>
        <w:t>чалась ошибочность сделанных ей трех переводов</w:t>
      </w:r>
      <w:r>
        <w:rPr>
          <w:rFonts w:ascii="Times New Roman" w:eastAsia="Times New Roman" w:hAnsi="Times New Roman" w:cs="Times New Roman"/>
          <w:sz w:val="28"/>
          <w:szCs w:val="28"/>
        </w:rPr>
        <w:t xml:space="preserve"> по перечислению</w:t>
      </w:r>
      <w:r>
        <w:rPr>
          <w:rFonts w:ascii="Times New Roman" w:eastAsia="Times New Roman" w:hAnsi="Times New Roman" w:cs="Times New Roman"/>
          <w:sz w:val="28"/>
          <w:szCs w:val="28"/>
        </w:rPr>
        <w:t xml:space="preserve"> денежных средств</w:t>
      </w:r>
      <w:r>
        <w:rPr>
          <w:rFonts w:ascii="Times New Roman" w:eastAsia="Times New Roman" w:hAnsi="Times New Roman" w:cs="Times New Roman"/>
          <w:sz w:val="28"/>
          <w:szCs w:val="28"/>
        </w:rPr>
        <w:t xml:space="preserve"> ответчику, а также не представила доказательства, подтверждающие перечисление третьими лицами с ее счета денежных средств ответчику.</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силу ст. 98 Гражданского процессуального кодекса Российской Федерации с ответчика </w:t>
      </w:r>
      <w:r>
        <w:rPr>
          <w:rFonts w:ascii="Times New Roman" w:eastAsia="Times New Roman" w:hAnsi="Times New Roman" w:cs="Times New Roman"/>
          <w:sz w:val="28"/>
          <w:szCs w:val="28"/>
        </w:rPr>
        <w:t>не подлежат взысканию расходы истца по оплате государственной пошлины ввиду отказа в удовлетворении требования о взыскании неосновательного обогащения.</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Руководствуясь </w:t>
      </w:r>
      <w:r>
        <w:rPr>
          <w:rFonts w:ascii="Times New Roman" w:eastAsia="Times New Roman" w:hAnsi="Times New Roman" w:cs="Times New Roman"/>
          <w:sz w:val="28"/>
          <w:szCs w:val="28"/>
        </w:rPr>
        <w:t xml:space="preserve">статьями 194 - 199 Гражданского процессуального кодекса Российской Федерации, </w:t>
      </w:r>
      <w:r>
        <w:rPr>
          <w:rFonts w:ascii="Times New Roman" w:eastAsia="Times New Roman" w:hAnsi="Times New Roman" w:cs="Times New Roman"/>
          <w:sz w:val="28"/>
          <w:szCs w:val="28"/>
        </w:rPr>
        <w:t>мировой судья</w:t>
      </w:r>
    </w:p>
    <w:p>
      <w:pPr>
        <w:spacing w:before="0" w:after="0"/>
        <w:jc w:val="both"/>
        <w:rPr>
          <w:sz w:val="28"/>
          <w:szCs w:val="28"/>
        </w:rPr>
      </w:pPr>
    </w:p>
    <w:p>
      <w:pPr>
        <w:spacing w:before="0" w:after="0"/>
        <w:jc w:val="center"/>
        <w:rPr>
          <w:sz w:val="28"/>
          <w:szCs w:val="28"/>
        </w:rPr>
      </w:pPr>
      <w:r>
        <w:rPr>
          <w:rFonts w:ascii="Times New Roman" w:eastAsia="Times New Roman" w:hAnsi="Times New Roman" w:cs="Times New Roman"/>
          <w:sz w:val="28"/>
          <w:szCs w:val="28"/>
        </w:rPr>
        <w:t>РЕШИЛ:</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удовлетворении искового заявления Левченко </w:t>
      </w:r>
      <w:r>
        <w:rPr>
          <w:rStyle w:val="cat-UserDefinedgrp-29rplc-71"/>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 Маркусу </w:t>
      </w:r>
      <w:r>
        <w:rPr>
          <w:rStyle w:val="cat-FIOgrp-13rplc-7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о взыскании неосновательного обогащения, третье лицо, не заявляющее самостоятельных требований относительно предмета спора, </w:t>
      </w:r>
      <w:r>
        <w:rPr>
          <w:rStyle w:val="cat-FIOgrp-12rplc-7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 отказать.</w:t>
      </w:r>
    </w:p>
    <w:p>
      <w:pPr>
        <w:spacing w:before="0" w:after="0"/>
        <w:ind w:firstLine="720"/>
        <w:jc w:val="both"/>
        <w:rPr>
          <w:sz w:val="28"/>
          <w:szCs w:val="28"/>
        </w:rPr>
      </w:pPr>
      <w:r>
        <w:rPr>
          <w:rFonts w:ascii="Times New Roman" w:eastAsia="Times New Roman" w:hAnsi="Times New Roman" w:cs="Times New Roman"/>
          <w:sz w:val="28"/>
          <w:szCs w:val="28"/>
        </w:rPr>
        <w:t xml:space="preserve">Решение может быть обжаловано в апелляционном порядке в Ханты-Мансийский районный суд </w:t>
      </w:r>
      <w:r>
        <w:rPr>
          <w:rStyle w:val="cat-Addressgrp-2rplc-7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 </w:t>
      </w:r>
      <w:r>
        <w:rPr>
          <w:rStyle w:val="cat-Addressgrp-3rplc-7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 течение месяца со дня принятия решения в окончательной форме, путем подачи апелляционной жалобы мировому судье судебного участка № 6 Ханты-Мансийского судебного </w:t>
      </w:r>
      <w:r>
        <w:rPr>
          <w:rStyle w:val="cat-Addressgrp-1rplc-7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автономного округа-Югры.</w:t>
      </w: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Решение составлено и принят</w:t>
      </w:r>
      <w:r>
        <w:rPr>
          <w:rFonts w:ascii="Times New Roman" w:eastAsia="Times New Roman" w:hAnsi="Times New Roman" w:cs="Times New Roman"/>
          <w:sz w:val="28"/>
          <w:szCs w:val="28"/>
        </w:rPr>
        <w:t xml:space="preserve">о в окончательной форме </w:t>
      </w:r>
      <w:r>
        <w:rPr>
          <w:rStyle w:val="cat-Dategrp-8rplc-77"/>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p>
    <w:p>
      <w:pPr>
        <w:spacing w:before="0" w:after="0"/>
        <w:ind w:firstLine="720"/>
        <w:jc w:val="both"/>
        <w:rPr>
          <w:sz w:val="28"/>
          <w:szCs w:val="28"/>
        </w:rPr>
      </w:pP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7rplc-7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Копия верна.</w:t>
      </w:r>
    </w:p>
    <w:p>
      <w:pPr>
        <w:spacing w:before="0" w:after="0"/>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Style w:val="cat-FIOgrp-17rplc-79"/>
          <w:rFonts w:ascii="Times New Roman" w:eastAsia="Times New Roman" w:hAnsi="Times New Roman" w:cs="Times New Roman"/>
          <w:sz w:val="28"/>
          <w:szCs w:val="28"/>
        </w:rPr>
        <w:t>фио</w:t>
      </w:r>
    </w:p>
    <w:p>
      <w:pPr>
        <w:spacing w:before="0" w:after="0"/>
        <w:rPr>
          <w:sz w:val="28"/>
          <w:szCs w:val="28"/>
        </w:rPr>
      </w:pPr>
    </w:p>
    <w:p>
      <w:pPr>
        <w:spacing w:before="0" w:after="160" w:line="259" w:lineRule="auto"/>
        <w:rPr>
          <w:sz w:val="28"/>
          <w:szCs w:val="28"/>
        </w:rPr>
      </w:pPr>
    </w:p>
    <w:p>
      <w:pPr>
        <w:spacing w:before="0" w:after="160" w:line="259" w:lineRule="auto"/>
        <w:rPr>
          <w:sz w:val="28"/>
          <w:szCs w:val="28"/>
        </w:rPr>
      </w:pPr>
    </w:p>
    <w:p>
      <w:pPr>
        <w:spacing w:before="0" w:after="160" w:line="259" w:lineRule="auto"/>
        <w:rPr>
          <w:sz w:val="28"/>
          <w:szCs w:val="28"/>
        </w:rPr>
      </w:pPr>
    </w:p>
    <w:p>
      <w:pPr>
        <w:spacing w:before="0" w:after="160" w:line="259" w:lineRule="auto"/>
        <w:rPr>
          <w:sz w:val="28"/>
          <w:szCs w:val="28"/>
        </w:rPr>
      </w:pPr>
    </w:p>
    <w:p>
      <w:pPr>
        <w:spacing w:before="0" w:after="160" w:line="259" w:lineRule="auto"/>
        <w:rPr>
          <w:sz w:val="28"/>
          <w:szCs w:val="28"/>
        </w:rPr>
      </w:pPr>
    </w:p>
    <w:sectPr>
      <w:headerReference w:type="default" r:id="rId1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2215995"/>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Dategrp-4rplc-0">
    <w:name w:val="cat-Date grp-4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9rplc-3">
    <w:name w:val="cat-FIO grp-9 rplc-3"/>
    <w:basedOn w:val="DefaultParagraphFont"/>
  </w:style>
  <w:style w:type="character" w:customStyle="1" w:styleId="cat-FIOgrp-10rplc-4">
    <w:name w:val="cat-FIO grp-10 rplc-4"/>
    <w:basedOn w:val="DefaultParagraphFont"/>
  </w:style>
  <w:style w:type="character" w:customStyle="1" w:styleId="cat-UserDefinedgrp-29rplc-7">
    <w:name w:val="cat-UserDefined grp-29 rplc-7"/>
    <w:basedOn w:val="DefaultParagraphFont"/>
  </w:style>
  <w:style w:type="character" w:customStyle="1" w:styleId="cat-UserDefinedgrp-28rplc-8">
    <w:name w:val="cat-UserDefined grp-28 rplc-8"/>
    <w:basedOn w:val="DefaultParagraphFont"/>
  </w:style>
  <w:style w:type="character" w:customStyle="1" w:styleId="cat-FIOgrp-13rplc-9">
    <w:name w:val="cat-FIO grp-13 rplc-9"/>
    <w:basedOn w:val="DefaultParagraphFont"/>
  </w:style>
  <w:style w:type="character" w:customStyle="1" w:styleId="cat-FIOgrp-12rplc-10">
    <w:name w:val="cat-FIO grp-12 rplc-10"/>
    <w:basedOn w:val="DefaultParagraphFont"/>
  </w:style>
  <w:style w:type="character" w:customStyle="1" w:styleId="cat-FIOgrp-14rplc-11">
    <w:name w:val="cat-FIO grp-14 rplc-11"/>
    <w:basedOn w:val="DefaultParagraphFont"/>
  </w:style>
  <w:style w:type="character" w:customStyle="1" w:styleId="cat-FIOgrp-15rplc-12">
    <w:name w:val="cat-FIO grp-15 rplc-12"/>
    <w:basedOn w:val="DefaultParagraphFont"/>
  </w:style>
  <w:style w:type="character" w:customStyle="1" w:styleId="cat-Sumgrp-18rplc-13">
    <w:name w:val="cat-Sum grp-18 rplc-13"/>
    <w:basedOn w:val="DefaultParagraphFont"/>
  </w:style>
  <w:style w:type="character" w:customStyle="1" w:styleId="cat-Sumgrp-19rplc-14">
    <w:name w:val="cat-Sum grp-19 rplc-14"/>
    <w:basedOn w:val="DefaultParagraphFont"/>
  </w:style>
  <w:style w:type="character" w:customStyle="1" w:styleId="cat-FIOgrp-16rplc-15">
    <w:name w:val="cat-FIO grp-16 rplc-15"/>
    <w:basedOn w:val="DefaultParagraphFont"/>
  </w:style>
  <w:style w:type="character" w:customStyle="1" w:styleId="cat-Dategrp-5rplc-16">
    <w:name w:val="cat-Date grp-5 rplc-16"/>
    <w:basedOn w:val="DefaultParagraphFont"/>
  </w:style>
  <w:style w:type="character" w:customStyle="1" w:styleId="cat-Sumgrp-18rplc-17">
    <w:name w:val="cat-Sum grp-18 rplc-17"/>
    <w:basedOn w:val="DefaultParagraphFont"/>
  </w:style>
  <w:style w:type="character" w:customStyle="1" w:styleId="cat-Sumgrp-18rplc-18">
    <w:name w:val="cat-Sum grp-18 rplc-18"/>
    <w:basedOn w:val="DefaultParagraphFont"/>
  </w:style>
  <w:style w:type="character" w:customStyle="1" w:styleId="cat-Sumgrp-19rplc-19">
    <w:name w:val="cat-Sum grp-19 rplc-19"/>
    <w:basedOn w:val="DefaultParagraphFont"/>
  </w:style>
  <w:style w:type="character" w:customStyle="1" w:styleId="cat-Dategrp-6rplc-20">
    <w:name w:val="cat-Date grp-6 rplc-20"/>
    <w:basedOn w:val="DefaultParagraphFont"/>
  </w:style>
  <w:style w:type="character" w:customStyle="1" w:styleId="cat-FIOgrp-16rplc-21">
    <w:name w:val="cat-FIO grp-16 rplc-21"/>
    <w:basedOn w:val="DefaultParagraphFont"/>
  </w:style>
  <w:style w:type="character" w:customStyle="1" w:styleId="cat-FIOgrp-14rplc-22">
    <w:name w:val="cat-FIO grp-14 rplc-22"/>
    <w:basedOn w:val="DefaultParagraphFont"/>
  </w:style>
  <w:style w:type="character" w:customStyle="1" w:styleId="cat-FIOgrp-15rplc-23">
    <w:name w:val="cat-FIO grp-15 rplc-23"/>
    <w:basedOn w:val="DefaultParagraphFont"/>
  </w:style>
  <w:style w:type="character" w:customStyle="1" w:styleId="cat-FIOgrp-16rplc-24">
    <w:name w:val="cat-FIO grp-16 rplc-24"/>
    <w:basedOn w:val="DefaultParagraphFont"/>
  </w:style>
  <w:style w:type="character" w:customStyle="1" w:styleId="cat-FIOgrp-15rplc-25">
    <w:name w:val="cat-FIO grp-15 rplc-25"/>
    <w:basedOn w:val="DefaultParagraphFont"/>
  </w:style>
  <w:style w:type="character" w:customStyle="1" w:styleId="cat-FIOgrp-14rplc-26">
    <w:name w:val="cat-FIO grp-14 rplc-26"/>
    <w:basedOn w:val="DefaultParagraphFont"/>
  </w:style>
  <w:style w:type="character" w:customStyle="1" w:styleId="cat-UserDefinedgrp-39rplc-27">
    <w:name w:val="cat-UserDefined grp-39 rplc-27"/>
    <w:basedOn w:val="DefaultParagraphFont"/>
  </w:style>
  <w:style w:type="character" w:customStyle="1" w:styleId="cat-UserDefinedgrp-38rplc-28">
    <w:name w:val="cat-UserDefined grp-38 rplc-28"/>
    <w:basedOn w:val="DefaultParagraphFont"/>
  </w:style>
  <w:style w:type="character" w:customStyle="1" w:styleId="cat-FIOgrp-14rplc-29">
    <w:name w:val="cat-FIO grp-14 rplc-29"/>
    <w:basedOn w:val="DefaultParagraphFont"/>
  </w:style>
  <w:style w:type="character" w:customStyle="1" w:styleId="cat-Sumgrp-20rplc-30">
    <w:name w:val="cat-Sum grp-20 rplc-30"/>
    <w:basedOn w:val="DefaultParagraphFont"/>
  </w:style>
  <w:style w:type="character" w:customStyle="1" w:styleId="cat-Sumgrp-21rplc-31">
    <w:name w:val="cat-Sum grp-21 rplc-31"/>
    <w:basedOn w:val="DefaultParagraphFont"/>
  </w:style>
  <w:style w:type="character" w:customStyle="1" w:styleId="cat-Sumgrp-22rplc-32">
    <w:name w:val="cat-Sum grp-22 rplc-32"/>
    <w:basedOn w:val="DefaultParagraphFont"/>
  </w:style>
  <w:style w:type="character" w:customStyle="1" w:styleId="cat-Dategrp-5rplc-33">
    <w:name w:val="cat-Date grp-5 rplc-33"/>
    <w:basedOn w:val="DefaultParagraphFont"/>
  </w:style>
  <w:style w:type="character" w:customStyle="1" w:styleId="cat-FIOgrp-14rplc-34">
    <w:name w:val="cat-FIO grp-14 rplc-34"/>
    <w:basedOn w:val="DefaultParagraphFont"/>
  </w:style>
  <w:style w:type="character" w:customStyle="1" w:styleId="cat-UserDefinedgrp-30rplc-35">
    <w:name w:val="cat-UserDefined grp-30 rplc-35"/>
    <w:basedOn w:val="DefaultParagraphFont"/>
  </w:style>
  <w:style w:type="character" w:customStyle="1" w:styleId="cat-UserDefinedgrp-30rplc-36">
    <w:name w:val="cat-UserDefined grp-30 rplc-36"/>
    <w:basedOn w:val="DefaultParagraphFont"/>
  </w:style>
  <w:style w:type="character" w:customStyle="1" w:styleId="cat-FIOgrp-15rplc-37">
    <w:name w:val="cat-FIO grp-15 rplc-37"/>
    <w:basedOn w:val="DefaultParagraphFont"/>
  </w:style>
  <w:style w:type="character" w:customStyle="1" w:styleId="cat-Sumgrp-20rplc-38">
    <w:name w:val="cat-Sum grp-20 rplc-38"/>
    <w:basedOn w:val="DefaultParagraphFont"/>
  </w:style>
  <w:style w:type="character" w:customStyle="1" w:styleId="cat-Sumgrp-21rplc-39">
    <w:name w:val="cat-Sum grp-21 rplc-39"/>
    <w:basedOn w:val="DefaultParagraphFont"/>
  </w:style>
  <w:style w:type="character" w:customStyle="1" w:styleId="cat-Sumgrp-22rplc-40">
    <w:name w:val="cat-Sum grp-22 rplc-40"/>
    <w:basedOn w:val="DefaultParagraphFont"/>
  </w:style>
  <w:style w:type="character" w:customStyle="1" w:styleId="cat-Sumgrp-18rplc-41">
    <w:name w:val="cat-Sum grp-18 rplc-41"/>
    <w:basedOn w:val="DefaultParagraphFont"/>
  </w:style>
  <w:style w:type="character" w:customStyle="1" w:styleId="cat-UserDefinedgrp-31rplc-42">
    <w:name w:val="cat-UserDefined grp-31 rplc-42"/>
    <w:basedOn w:val="DefaultParagraphFont"/>
  </w:style>
  <w:style w:type="character" w:customStyle="1" w:styleId="cat-Dategrp-5rplc-43">
    <w:name w:val="cat-Date grp-5 rplc-43"/>
    <w:basedOn w:val="DefaultParagraphFont"/>
  </w:style>
  <w:style w:type="character" w:customStyle="1" w:styleId="cat-Timegrp-25rplc-44">
    <w:name w:val="cat-Time grp-25 rplc-44"/>
    <w:basedOn w:val="DefaultParagraphFont"/>
  </w:style>
  <w:style w:type="character" w:customStyle="1" w:styleId="cat-UserDefinedgrp-32rplc-45">
    <w:name w:val="cat-UserDefined grp-32 rplc-45"/>
    <w:basedOn w:val="DefaultParagraphFont"/>
  </w:style>
  <w:style w:type="character" w:customStyle="1" w:styleId="cat-UserDefinedgrp-34rplc-46">
    <w:name w:val="cat-UserDefined grp-34 rplc-46"/>
    <w:basedOn w:val="DefaultParagraphFont"/>
  </w:style>
  <w:style w:type="character" w:customStyle="1" w:styleId="cat-UserDefinedgrp-33rplc-47">
    <w:name w:val="cat-UserDefined grp-33 rplc-47"/>
    <w:basedOn w:val="DefaultParagraphFont"/>
  </w:style>
  <w:style w:type="character" w:customStyle="1" w:styleId="cat-Sumgrp-23rplc-48">
    <w:name w:val="cat-Sum grp-23 rplc-48"/>
    <w:basedOn w:val="DefaultParagraphFont"/>
  </w:style>
  <w:style w:type="character" w:customStyle="1" w:styleId="cat-UserDefinedgrp-35rplc-49">
    <w:name w:val="cat-UserDefined grp-35 rplc-49"/>
    <w:basedOn w:val="DefaultParagraphFont"/>
  </w:style>
  <w:style w:type="character" w:customStyle="1" w:styleId="cat-UserDefinedgrp-33rplc-50">
    <w:name w:val="cat-UserDefined grp-33 rplc-50"/>
    <w:basedOn w:val="DefaultParagraphFont"/>
  </w:style>
  <w:style w:type="character" w:customStyle="1" w:styleId="cat-Dategrp-7rplc-51">
    <w:name w:val="cat-Date grp-7 rplc-51"/>
    <w:basedOn w:val="DefaultParagraphFont"/>
  </w:style>
  <w:style w:type="character" w:customStyle="1" w:styleId="cat-Timegrp-26rplc-52">
    <w:name w:val="cat-Time grp-26 rplc-52"/>
    <w:basedOn w:val="DefaultParagraphFont"/>
  </w:style>
  <w:style w:type="character" w:customStyle="1" w:styleId="cat-UserDefinedgrp-36rplc-53">
    <w:name w:val="cat-UserDefined grp-36 rplc-53"/>
    <w:basedOn w:val="DefaultParagraphFont"/>
  </w:style>
  <w:style w:type="character" w:customStyle="1" w:styleId="cat-FIOgrp-16rplc-54">
    <w:name w:val="cat-FIO grp-16 rplc-54"/>
    <w:basedOn w:val="DefaultParagraphFont"/>
  </w:style>
  <w:style w:type="character" w:customStyle="1" w:styleId="cat-PassportDatagrp-24rplc-55">
    <w:name w:val="cat-PassportData grp-24 rplc-55"/>
    <w:basedOn w:val="DefaultParagraphFont"/>
  </w:style>
  <w:style w:type="character" w:customStyle="1" w:styleId="cat-FIOgrp-14rplc-56">
    <w:name w:val="cat-FIO grp-14 rplc-56"/>
    <w:basedOn w:val="DefaultParagraphFont"/>
  </w:style>
  <w:style w:type="character" w:customStyle="1" w:styleId="cat-Sumgrp-20rplc-57">
    <w:name w:val="cat-Sum grp-20 rplc-57"/>
    <w:basedOn w:val="DefaultParagraphFont"/>
  </w:style>
  <w:style w:type="character" w:customStyle="1" w:styleId="cat-Sumgrp-21rplc-58">
    <w:name w:val="cat-Sum grp-21 rplc-58"/>
    <w:basedOn w:val="DefaultParagraphFont"/>
  </w:style>
  <w:style w:type="character" w:customStyle="1" w:styleId="cat-Sumgrp-22rplc-59">
    <w:name w:val="cat-Sum grp-22 rplc-59"/>
    <w:basedOn w:val="DefaultParagraphFont"/>
  </w:style>
  <w:style w:type="character" w:customStyle="1" w:styleId="cat-FIOgrp-14rplc-60">
    <w:name w:val="cat-FIO grp-14 rplc-60"/>
    <w:basedOn w:val="DefaultParagraphFont"/>
  </w:style>
  <w:style w:type="character" w:customStyle="1" w:styleId="cat-UserDefinedgrp-30rplc-61">
    <w:name w:val="cat-UserDefined grp-30 rplc-61"/>
    <w:basedOn w:val="DefaultParagraphFont"/>
  </w:style>
  <w:style w:type="character" w:customStyle="1" w:styleId="cat-FIOgrp-15rplc-62">
    <w:name w:val="cat-FIO grp-15 rplc-62"/>
    <w:basedOn w:val="DefaultParagraphFont"/>
  </w:style>
  <w:style w:type="character" w:customStyle="1" w:styleId="cat-UserDefinedgrp-30rplc-63">
    <w:name w:val="cat-UserDefined grp-30 rplc-63"/>
    <w:basedOn w:val="DefaultParagraphFont"/>
  </w:style>
  <w:style w:type="character" w:customStyle="1" w:styleId="cat-FIOgrp-15rplc-64">
    <w:name w:val="cat-FIO grp-15 rplc-64"/>
    <w:basedOn w:val="DefaultParagraphFont"/>
  </w:style>
  <w:style w:type="character" w:customStyle="1" w:styleId="cat-Sumgrp-18rplc-65">
    <w:name w:val="cat-Sum grp-18 rplc-65"/>
    <w:basedOn w:val="DefaultParagraphFont"/>
  </w:style>
  <w:style w:type="character" w:customStyle="1" w:styleId="cat-UserDefinedgrp-37rplc-66">
    <w:name w:val="cat-UserDefined grp-37 rplc-66"/>
    <w:basedOn w:val="DefaultParagraphFont"/>
  </w:style>
  <w:style w:type="character" w:customStyle="1" w:styleId="cat-FIOgrp-14rplc-67">
    <w:name w:val="cat-FIO grp-14 rplc-67"/>
    <w:basedOn w:val="DefaultParagraphFont"/>
  </w:style>
  <w:style w:type="character" w:customStyle="1" w:styleId="cat-Sumgrp-18rplc-68">
    <w:name w:val="cat-Sum grp-18 rplc-68"/>
    <w:basedOn w:val="DefaultParagraphFont"/>
  </w:style>
  <w:style w:type="character" w:customStyle="1" w:styleId="cat-FIOgrp-15rplc-69">
    <w:name w:val="cat-FIO grp-15 rplc-69"/>
    <w:basedOn w:val="DefaultParagraphFont"/>
  </w:style>
  <w:style w:type="character" w:customStyle="1" w:styleId="cat-UserDefinedgrp-29rplc-71">
    <w:name w:val="cat-UserDefined grp-29 rplc-71"/>
    <w:basedOn w:val="DefaultParagraphFont"/>
  </w:style>
  <w:style w:type="character" w:customStyle="1" w:styleId="cat-FIOgrp-13rplc-72">
    <w:name w:val="cat-FIO grp-13 rplc-72"/>
    <w:basedOn w:val="DefaultParagraphFont"/>
  </w:style>
  <w:style w:type="character" w:customStyle="1" w:styleId="cat-FIOgrp-12rplc-73">
    <w:name w:val="cat-FIO grp-12 rplc-73"/>
    <w:basedOn w:val="DefaultParagraphFont"/>
  </w:style>
  <w:style w:type="character" w:customStyle="1" w:styleId="cat-Addressgrp-2rplc-74">
    <w:name w:val="cat-Address grp-2 rplc-74"/>
    <w:basedOn w:val="DefaultParagraphFont"/>
  </w:style>
  <w:style w:type="character" w:customStyle="1" w:styleId="cat-Addressgrp-3rplc-75">
    <w:name w:val="cat-Address grp-3 rplc-75"/>
    <w:basedOn w:val="DefaultParagraphFont"/>
  </w:style>
  <w:style w:type="character" w:customStyle="1" w:styleId="cat-Addressgrp-1rplc-76">
    <w:name w:val="cat-Address grp-1 rplc-76"/>
    <w:basedOn w:val="DefaultParagraphFont"/>
  </w:style>
  <w:style w:type="character" w:customStyle="1" w:styleId="cat-Dategrp-8rplc-77">
    <w:name w:val="cat-Date grp-8 rplc-77"/>
    <w:basedOn w:val="DefaultParagraphFont"/>
  </w:style>
  <w:style w:type="character" w:customStyle="1" w:styleId="cat-FIOgrp-17rplc-78">
    <w:name w:val="cat-FIO grp-17 rplc-78"/>
    <w:basedOn w:val="DefaultParagraphFont"/>
  </w:style>
  <w:style w:type="character" w:customStyle="1" w:styleId="cat-FIOgrp-17rplc-79">
    <w:name w:val="cat-FIO grp-17 rplc-7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FB8D1B4192DA2BEE743F660817FE41B1A41FB93C9DFE0EB7355F3FFA6CD05F52453A6FFBD2D9DC537E55F1012DDA9B5241D12F1C9D398005g00BR" TargetMode="External" /><Relationship Id="rId11" Type="http://schemas.openxmlformats.org/officeDocument/2006/relationships/hyperlink" Target="consultantplus://offline/ref=FB8D1B4192DA2BEE743F660817FE41B1A41FB93C9DFE0EB7355F3FFA6CD05F52453A6FFBD2D9DC507855F1012DDA9B5241D12F1C9D398005g00BR" TargetMode="External" /><Relationship Id="rId12" Type="http://schemas.openxmlformats.org/officeDocument/2006/relationships/hyperlink" Target="consultantplus://offline/ref=FB8D1B4192DA2BEE743F660817FE41B1A41FB93C9DFE0EB7355F3FFA6CD05F52453A6FFBD2D9DC507B55F1012DDA9B5241D12F1C9D398005g00BR" TargetMode="External" /><Relationship Id="rId13" Type="http://schemas.openxmlformats.org/officeDocument/2006/relationships/hyperlink" Target="consultantplus://offline/ref=FB8D1B4192DA2BEE743F660817FE41B1A41FB93C9DFE0EB7355F3FFA6CD05F52453A6FFBD2D9DC5F7155F1012DDA9B5241D12F1C9D398005g00BR" TargetMode="External" /><Relationship Id="rId14" Type="http://schemas.openxmlformats.org/officeDocument/2006/relationships/header" Target="header1.xml" /><Relationship Id="rId15" Type="http://schemas.openxmlformats.org/officeDocument/2006/relationships/glossaryDocument" Target="glossary/document.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FE1E83FBE20EA4F60F0197CFC588B4127862081234A7CEB19E73595B23E1555DB7468B3CBE76887FFFB3DB8279A954F8AF20817D0ABACE2HFR4S" TargetMode="External" /><Relationship Id="rId5" Type="http://schemas.openxmlformats.org/officeDocument/2006/relationships/hyperlink" Target="consultantplus://offline/ref=2FE1E83FBE20EA4F60F0197CFC588B4127862081234A7CEB19E73595B23E1555DB7468B3CBE76889FDFB3DB8279A954F8AF20817D0ABACE2HFR4S" TargetMode="External" /><Relationship Id="rId6" Type="http://schemas.openxmlformats.org/officeDocument/2006/relationships/hyperlink" Target="consultantplus://offline/ref=2FE1E83FBE20EA4F60F0197CFC588B4127862081234A7CEB19E73595B23E1555DB7468B3CBE76887FCFB3DB8279A954F8AF20817D0ABACE2HFR4S" TargetMode="External" /><Relationship Id="rId7" Type="http://schemas.openxmlformats.org/officeDocument/2006/relationships/hyperlink" Target="consultantplus://offline/ref=FB8D1B4192DA2BEE743F660817FE41B1A41FB83A9DFE0EB7355F3FFA6CD05F52453A6FFBD2DBD9517955F1012DDA9B5241D12F1C9D398005g00BR" TargetMode="External" /><Relationship Id="rId8" Type="http://schemas.openxmlformats.org/officeDocument/2006/relationships/hyperlink" Target="consultantplus://offline/ref=FB8D1B4192DA2BEE743F660817FE41B1A41FB83A9DFE0EB7355F3FFA6CD05F52453A6FFBD2DBD9517A55F1012DDA9B5241D12F1C9D398005g00BR" TargetMode="External" /><Relationship Id="rId9" Type="http://schemas.openxmlformats.org/officeDocument/2006/relationships/hyperlink" Target="consultantplus://offline/ref=2FE1E83FBE20EA4F60F0197CFC588B4127862081234A7CEB19E73595B23E1555DB7468B3CBE76889F6FB3DB8279A954F8AF20817D0ABACE2HFR4S"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7C7750F-6D57-4D58-BE13-49C2C9A1BC6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